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77777777" w:rsidR="003B7E3D" w:rsidRDefault="00C07A42" w:rsidP="003B7E3D">
      <w:pPr>
        <w:jc w:val="center"/>
        <w:rPr>
          <w:rFonts w:ascii="Arial" w:hAnsi="Arial" w:cs="Arial"/>
          <w:b/>
          <w:sz w:val="32"/>
          <w:szCs w:val="32"/>
        </w:rPr>
      </w:pPr>
      <w:r>
        <w:rPr>
          <w:rFonts w:ascii="Arial" w:hAnsi="Arial" w:cs="Arial"/>
          <w:b/>
          <w:sz w:val="32"/>
          <w:szCs w:val="32"/>
        </w:rPr>
        <w:t>Meeting</w:t>
      </w:r>
      <w:r w:rsidR="007609D3">
        <w:rPr>
          <w:rFonts w:ascii="Arial" w:hAnsi="Arial" w:cs="Arial"/>
          <w:b/>
          <w:sz w:val="32"/>
          <w:szCs w:val="32"/>
        </w:rPr>
        <w:t xml:space="preserve"> Agenda</w:t>
      </w:r>
    </w:p>
    <w:p w14:paraId="723A2A31" w14:textId="77777777" w:rsidR="003B7E3D" w:rsidRPr="00EA66EC" w:rsidRDefault="003B7E3D" w:rsidP="003B7E3D">
      <w:pPr>
        <w:jc w:val="center"/>
        <w:rPr>
          <w:rFonts w:ascii="Arial" w:hAnsi="Arial" w:cs="Arial"/>
          <w:b/>
          <w:sz w:val="10"/>
          <w:szCs w:val="10"/>
        </w:rPr>
      </w:pPr>
    </w:p>
    <w:p w14:paraId="3C7188C5" w14:textId="11EB3B96" w:rsidR="003B7E3D" w:rsidRDefault="00A156D2" w:rsidP="003B7E3D">
      <w:pPr>
        <w:jc w:val="center"/>
        <w:rPr>
          <w:rFonts w:ascii="Arial" w:hAnsi="Arial" w:cs="Arial"/>
        </w:rPr>
      </w:pPr>
      <w:r>
        <w:rPr>
          <w:rFonts w:ascii="Arial" w:hAnsi="Arial" w:cs="Arial"/>
        </w:rPr>
        <w:t>Thursday, May 8</w:t>
      </w:r>
      <w:r w:rsidR="00143DD7">
        <w:rPr>
          <w:rFonts w:ascii="Arial" w:hAnsi="Arial" w:cs="Arial"/>
        </w:rPr>
        <w:t>, 2014</w:t>
      </w:r>
    </w:p>
    <w:p w14:paraId="6A98C7DA" w14:textId="16530BA6" w:rsidR="003B7E3D" w:rsidRDefault="002005D3" w:rsidP="003B7E3D">
      <w:pPr>
        <w:jc w:val="center"/>
        <w:rPr>
          <w:rFonts w:ascii="Arial" w:hAnsi="Arial" w:cs="Arial"/>
        </w:rPr>
      </w:pPr>
      <w:r>
        <w:rPr>
          <w:rFonts w:ascii="Arial" w:hAnsi="Arial" w:cs="Arial"/>
        </w:rPr>
        <w:t xml:space="preserve">12:30 </w:t>
      </w:r>
      <w:r w:rsidR="00C439A4">
        <w:rPr>
          <w:rFonts w:ascii="Arial" w:hAnsi="Arial" w:cs="Arial"/>
        </w:rPr>
        <w:t xml:space="preserve">p.m. </w:t>
      </w:r>
      <w:r>
        <w:rPr>
          <w:rFonts w:ascii="Arial" w:hAnsi="Arial" w:cs="Arial"/>
        </w:rPr>
        <w:t>– 2:30</w:t>
      </w:r>
      <w:r w:rsidR="00C07A42">
        <w:rPr>
          <w:rFonts w:ascii="Arial" w:hAnsi="Arial" w:cs="Arial"/>
        </w:rPr>
        <w:t xml:space="preserve"> p.m.</w:t>
      </w:r>
    </w:p>
    <w:p w14:paraId="0237F1AE" w14:textId="77777777" w:rsidR="0061206F" w:rsidRPr="007D24AF" w:rsidRDefault="00C07A42" w:rsidP="007D24AF">
      <w:pPr>
        <w:jc w:val="center"/>
        <w:rPr>
          <w:rFonts w:ascii="Arial" w:hAnsi="Arial" w:cs="Arial"/>
        </w:rPr>
      </w:pPr>
      <w:r>
        <w:rPr>
          <w:rFonts w:ascii="Arial" w:hAnsi="Arial" w:cs="Arial"/>
        </w:rPr>
        <w:t>Mt. SAC Building 40, Room 103</w:t>
      </w: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64231B40" w:rsidR="007D24AF" w:rsidRPr="0061206F" w:rsidRDefault="00F603DA"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441DA" w14:textId="7D7D589F" w:rsidR="007D24AF" w:rsidRPr="0061206F" w:rsidRDefault="007D24AF" w:rsidP="00A156D2">
            <w:pPr>
              <w:spacing w:line="0" w:lineRule="atLeast"/>
            </w:pPr>
            <w:r w:rsidRPr="0061206F">
              <w:rPr>
                <w:rFonts w:ascii="Arial" w:hAnsi="Arial" w:cs="Arial"/>
                <w:color w:val="000000"/>
                <w:sz w:val="20"/>
                <w:szCs w:val="20"/>
              </w:rPr>
              <w:t>Baldwin Park</w:t>
            </w:r>
            <w:r w:rsidR="00644872">
              <w:rPr>
                <w:rFonts w:ascii="Arial" w:hAnsi="Arial" w:cs="Arial"/>
                <w:color w:val="000000"/>
                <w:sz w:val="20"/>
                <w:szCs w:val="20"/>
              </w:rPr>
              <w:t xml:space="preserve"> </w:t>
            </w:r>
            <w:r w:rsidR="00F603DA">
              <w:rPr>
                <w:rFonts w:ascii="Arial" w:hAnsi="Arial" w:cs="Arial"/>
                <w:color w:val="000000"/>
                <w:sz w:val="20"/>
                <w:szCs w:val="20"/>
              </w:rPr>
              <w:t>(John Kerr)</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3D208E79" w:rsidR="007D24AF" w:rsidRPr="0061206F" w:rsidRDefault="007D24AF" w:rsidP="007D24AF">
            <w:pPr>
              <w:spacing w:line="0" w:lineRule="atLeast"/>
            </w:pP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C4FA05" w14:textId="30FD7698" w:rsidR="007D24AF" w:rsidRPr="0061206F" w:rsidRDefault="007D24AF" w:rsidP="00A156D2">
            <w:pPr>
              <w:spacing w:line="0" w:lineRule="atLeast"/>
              <w:rPr>
                <w:rFonts w:ascii="Arial" w:hAnsi="Arial" w:cs="Arial"/>
                <w:color w:val="000000"/>
                <w:sz w:val="20"/>
                <w:szCs w:val="20"/>
              </w:rPr>
            </w:pPr>
            <w:r w:rsidRPr="0061206F">
              <w:rPr>
                <w:rFonts w:ascii="Arial" w:hAnsi="Arial" w:cs="Arial"/>
                <w:color w:val="000000"/>
                <w:sz w:val="20"/>
                <w:szCs w:val="20"/>
              </w:rPr>
              <w:t>Charter Oak</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74FF3411" w:rsidR="007D24AF" w:rsidRPr="0061206F" w:rsidRDefault="00F603D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E3DCB9" w14:textId="3C6F98DF" w:rsidR="007D24AF" w:rsidRPr="0061206F" w:rsidRDefault="007D24AF" w:rsidP="00A156D2">
            <w:pPr>
              <w:spacing w:line="0" w:lineRule="atLeast"/>
            </w:pPr>
            <w:r w:rsidRPr="00E433A9">
              <w:rPr>
                <w:rFonts w:ascii="Arial" w:hAnsi="Arial" w:cs="Arial"/>
                <w:sz w:val="20"/>
                <w:szCs w:val="20"/>
              </w:rPr>
              <w:t>Mt. San Antonio</w:t>
            </w:r>
            <w:r w:rsidR="00644872">
              <w:rPr>
                <w:rFonts w:ascii="Arial" w:hAnsi="Arial" w:cs="Arial"/>
                <w:sz w:val="20"/>
                <w:szCs w:val="20"/>
              </w:rPr>
              <w:t xml:space="preserve"> </w:t>
            </w:r>
            <w:r w:rsidR="00F603DA">
              <w:rPr>
                <w:rFonts w:ascii="Arial" w:hAnsi="Arial" w:cs="Arial"/>
                <w:sz w:val="20"/>
                <w:szCs w:val="20"/>
              </w:rPr>
              <w:t>(Madelyn Arballo, Liza Becker)</w:t>
            </w:r>
          </w:p>
        </w:tc>
        <w:tc>
          <w:tcPr>
            <w:tcW w:w="540" w:type="dxa"/>
            <w:tcBorders>
              <w:top w:val="single" w:sz="6" w:space="0" w:color="000000"/>
              <w:left w:val="single" w:sz="6" w:space="0" w:color="000000"/>
              <w:bottom w:val="single" w:sz="6" w:space="0" w:color="000000"/>
              <w:right w:val="single" w:sz="6" w:space="0" w:color="000000"/>
            </w:tcBorders>
          </w:tcPr>
          <w:p w14:paraId="509795E6" w14:textId="77777777" w:rsidR="007D24AF" w:rsidRPr="0061206F" w:rsidRDefault="007D24AF" w:rsidP="007D24AF">
            <w:pPr>
              <w:spacing w:line="0" w:lineRule="atLeast"/>
              <w:jc w:val="center"/>
            </w:pPr>
          </w:p>
        </w:tc>
        <w:tc>
          <w:tcPr>
            <w:tcW w:w="2160" w:type="dxa"/>
            <w:tcBorders>
              <w:top w:val="single" w:sz="6" w:space="0" w:color="000000"/>
              <w:left w:val="single" w:sz="6" w:space="0" w:color="000000"/>
              <w:bottom w:val="single" w:sz="6" w:space="0" w:color="000000"/>
              <w:right w:val="single" w:sz="6" w:space="0" w:color="000000"/>
            </w:tcBorders>
          </w:tcPr>
          <w:p w14:paraId="625E7996" w14:textId="5CE9869F" w:rsidR="007D24AF" w:rsidRPr="0061206F" w:rsidRDefault="002701A6" w:rsidP="007D24AF">
            <w:pPr>
              <w:spacing w:line="0" w:lineRule="atLeast"/>
            </w:pPr>
            <w:r>
              <w:rPr>
                <w:rFonts w:ascii="Arial" w:hAnsi="Arial" w:cs="Arial"/>
                <w:color w:val="000000"/>
                <w:sz w:val="20"/>
                <w:szCs w:val="20"/>
              </w:rPr>
              <w:t xml:space="preserve"> </w:t>
            </w:r>
            <w:r w:rsidR="007D24AF" w:rsidRPr="0061206F">
              <w:rPr>
                <w:rFonts w:ascii="Arial" w:hAnsi="Arial" w:cs="Arial"/>
                <w:color w:val="000000"/>
                <w:sz w:val="20"/>
                <w:szCs w:val="20"/>
              </w:rPr>
              <w:t>Walnut Valley</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234C31D5"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1730A" w14:textId="727FD566" w:rsidR="005F0530" w:rsidRPr="0061206F" w:rsidRDefault="005F0530" w:rsidP="00A156D2">
            <w:pPr>
              <w:spacing w:line="0" w:lineRule="atLeast"/>
            </w:pPr>
            <w:r w:rsidRPr="0061206F">
              <w:rPr>
                <w:rFonts w:ascii="Arial" w:hAnsi="Arial" w:cs="Arial"/>
                <w:color w:val="000000"/>
                <w:sz w:val="20"/>
                <w:szCs w:val="20"/>
              </w:rPr>
              <w:t>Bassett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31D94602" w:rsidR="005F0530" w:rsidRPr="0061206F" w:rsidRDefault="00F603DA"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CD1F87" w14:textId="4CBDD40E" w:rsidR="005F0530" w:rsidRPr="0061206F" w:rsidRDefault="005F0530" w:rsidP="00A156D2">
            <w:pPr>
              <w:spacing w:line="0" w:lineRule="atLeast"/>
            </w:pPr>
            <w:r w:rsidRPr="0061206F">
              <w:rPr>
                <w:rFonts w:ascii="Arial" w:hAnsi="Arial" w:cs="Arial"/>
                <w:color w:val="000000"/>
                <w:sz w:val="20"/>
                <w:szCs w:val="20"/>
              </w:rPr>
              <w:t>Covina Valley</w:t>
            </w:r>
            <w:r w:rsidR="00644872">
              <w:rPr>
                <w:rFonts w:ascii="Arial" w:hAnsi="Arial" w:cs="Arial"/>
                <w:color w:val="000000"/>
                <w:sz w:val="20"/>
                <w:szCs w:val="20"/>
              </w:rPr>
              <w:t xml:space="preserve"> </w:t>
            </w:r>
            <w:r w:rsidR="00F603DA">
              <w:rPr>
                <w:rFonts w:ascii="Arial" w:hAnsi="Arial" w:cs="Arial"/>
                <w:color w:val="000000"/>
                <w:sz w:val="20"/>
                <w:szCs w:val="20"/>
              </w:rPr>
              <w:t>(Julie Caston-Hicks, Lynn Ward Broudy)</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299C874C" w:rsidR="005F0530" w:rsidRPr="0061206F" w:rsidRDefault="00F603D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5D9350" w14:textId="20486F37" w:rsidR="005F0530" w:rsidRPr="00E433A9" w:rsidRDefault="005F0530" w:rsidP="00A156D2">
            <w:pPr>
              <w:spacing w:line="0" w:lineRule="atLeast"/>
              <w:rPr>
                <w:rFonts w:ascii="Arial" w:hAnsi="Arial" w:cs="Arial"/>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r w:rsidR="00F603DA">
              <w:rPr>
                <w:rFonts w:ascii="Arial" w:hAnsi="Arial" w:cs="Arial"/>
                <w:color w:val="000000"/>
                <w:sz w:val="20"/>
                <w:szCs w:val="20"/>
              </w:rPr>
              <w:t>(Enrique Medina)</w:t>
            </w:r>
          </w:p>
        </w:tc>
        <w:tc>
          <w:tcPr>
            <w:tcW w:w="2700" w:type="dxa"/>
            <w:gridSpan w:val="2"/>
            <w:vMerge w:val="restart"/>
            <w:tcBorders>
              <w:top w:val="single" w:sz="6" w:space="0" w:color="000000"/>
              <w:left w:val="single" w:sz="6" w:space="0" w:color="000000"/>
              <w:right w:val="single" w:sz="6" w:space="0" w:color="000000"/>
            </w:tcBorders>
          </w:tcPr>
          <w:p w14:paraId="67A4D584" w14:textId="77777777" w:rsidR="006A6D7D" w:rsidRDefault="005F0530" w:rsidP="007D24AF">
            <w:pPr>
              <w:spacing w:line="0" w:lineRule="atLeast"/>
              <w:rPr>
                <w:rFonts w:ascii="Arial" w:hAnsi="Arial" w:cs="Arial"/>
                <w:sz w:val="18"/>
                <w:szCs w:val="18"/>
              </w:rPr>
            </w:pPr>
            <w:r w:rsidRPr="005F0530">
              <w:rPr>
                <w:rFonts w:ascii="Arial" w:hAnsi="Arial" w:cs="Arial"/>
                <w:sz w:val="18"/>
                <w:szCs w:val="18"/>
              </w:rPr>
              <w:t>Partners presen</w:t>
            </w:r>
            <w:r w:rsidR="006A6D7D">
              <w:rPr>
                <w:rFonts w:ascii="Arial" w:hAnsi="Arial" w:cs="Arial"/>
                <w:sz w:val="18"/>
                <w:szCs w:val="18"/>
              </w:rPr>
              <w:t xml:space="preserve">t: </w:t>
            </w:r>
          </w:p>
          <w:p w14:paraId="39A011DA" w14:textId="77777777" w:rsidR="00F603DA" w:rsidRDefault="00F603DA" w:rsidP="007D24AF">
            <w:pPr>
              <w:spacing w:line="0" w:lineRule="atLeast"/>
              <w:rPr>
                <w:rFonts w:ascii="Arial" w:hAnsi="Arial" w:cs="Arial"/>
                <w:sz w:val="18"/>
                <w:szCs w:val="18"/>
              </w:rPr>
            </w:pPr>
          </w:p>
          <w:p w14:paraId="1EE91A8A" w14:textId="4CD9BD6C" w:rsidR="00F603DA" w:rsidRPr="00F603DA" w:rsidRDefault="00F603DA" w:rsidP="007D24AF">
            <w:pPr>
              <w:spacing w:line="0" w:lineRule="atLeast"/>
              <w:rPr>
                <w:rFonts w:ascii="Arial" w:hAnsi="Arial" w:cs="Arial"/>
                <w:sz w:val="18"/>
                <w:szCs w:val="18"/>
              </w:rPr>
            </w:pPr>
            <w:r>
              <w:rPr>
                <w:rFonts w:ascii="Arial" w:hAnsi="Arial" w:cs="Arial"/>
                <w:sz w:val="18"/>
                <w:szCs w:val="18"/>
              </w:rPr>
              <w:t>Priyadarshini Chaplot</w:t>
            </w: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775F99CF" w:rsidR="005F0530" w:rsidRPr="0061206F" w:rsidRDefault="00F603DA"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7CF5E8" w14:textId="297D0683" w:rsidR="005F0530" w:rsidRPr="00E433A9" w:rsidRDefault="005F0530" w:rsidP="00A156D2">
            <w:pPr>
              <w:spacing w:line="0" w:lineRule="atLeast"/>
              <w:rPr>
                <w:rFonts w:ascii="Arial" w:hAnsi="Arial" w:cs="Arial"/>
                <w:sz w:val="20"/>
                <w:szCs w:val="20"/>
              </w:rPr>
            </w:pPr>
            <w:r>
              <w:rPr>
                <w:rFonts w:ascii="Arial" w:hAnsi="Arial" w:cs="Arial"/>
                <w:sz w:val="20"/>
                <w:szCs w:val="20"/>
              </w:rPr>
              <w:t>Hacienda La Puente</w:t>
            </w:r>
            <w:r w:rsidR="00F603DA">
              <w:rPr>
                <w:rFonts w:ascii="Arial" w:hAnsi="Arial" w:cs="Arial"/>
                <w:sz w:val="20"/>
                <w:szCs w:val="20"/>
              </w:rPr>
              <w:t xml:space="preserve"> (Vicky Rossier, Bruce Krall, Matthew Smith)</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55FB619A" w:rsidR="005F0530" w:rsidRPr="0061206F" w:rsidRDefault="005F0530" w:rsidP="007D24AF">
            <w:pPr>
              <w:spacing w:line="0" w:lineRule="atLeast"/>
            </w:pP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68E2B" w14:textId="50F8EC0B" w:rsidR="005F0530" w:rsidRPr="0061206F" w:rsidRDefault="005F0530" w:rsidP="00A156D2">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C07A42" w14:paraId="19041989" w14:textId="77777777" w:rsidTr="007D24AF">
        <w:tc>
          <w:tcPr>
            <w:tcW w:w="3160" w:type="dxa"/>
          </w:tcPr>
          <w:p w14:paraId="1609C67E" w14:textId="77777777" w:rsidR="00C07A42" w:rsidRDefault="00C07A42" w:rsidP="006C01AC">
            <w:pPr>
              <w:rPr>
                <w:rFonts w:ascii="Arial" w:hAnsi="Arial" w:cs="Arial"/>
              </w:rPr>
            </w:pPr>
            <w:r w:rsidRPr="00C07A42">
              <w:rPr>
                <w:rFonts w:ascii="Arial" w:hAnsi="Arial" w:cs="Arial"/>
              </w:rPr>
              <w:t xml:space="preserve">Welcome &amp; </w:t>
            </w:r>
            <w:r w:rsidR="0061206F">
              <w:rPr>
                <w:rFonts w:ascii="Arial" w:hAnsi="Arial" w:cs="Arial"/>
              </w:rPr>
              <w:t>Agenda Check</w:t>
            </w:r>
          </w:p>
          <w:p w14:paraId="101083C7" w14:textId="43F4F79B" w:rsidR="005F0530" w:rsidRPr="00C07A42" w:rsidRDefault="005F0530" w:rsidP="006C01AC">
            <w:pPr>
              <w:rPr>
                <w:rFonts w:ascii="Arial" w:hAnsi="Arial" w:cs="Arial"/>
              </w:rPr>
            </w:pPr>
          </w:p>
        </w:tc>
        <w:tc>
          <w:tcPr>
            <w:tcW w:w="7100" w:type="dxa"/>
          </w:tcPr>
          <w:p w14:paraId="690940C7" w14:textId="77777777" w:rsidR="00C07A42" w:rsidRDefault="003F01D0" w:rsidP="00090D5C">
            <w:pPr>
              <w:rPr>
                <w:rFonts w:ascii="Arial" w:hAnsi="Arial" w:cs="Arial"/>
              </w:rPr>
            </w:pPr>
            <w:r>
              <w:rPr>
                <w:rFonts w:ascii="Arial" w:hAnsi="Arial" w:cs="Arial"/>
              </w:rPr>
              <w:t>Add a quick status check on outstanding subcontract agreements. Bassett’s will go to the board on May 22, Hacienda La Puente on June 6, and Pomona on June 10.</w:t>
            </w:r>
          </w:p>
          <w:p w14:paraId="230701DD" w14:textId="77777777" w:rsidR="003F01D0" w:rsidRDefault="003F01D0" w:rsidP="00090D5C">
            <w:pPr>
              <w:rPr>
                <w:rFonts w:ascii="Arial" w:hAnsi="Arial" w:cs="Arial"/>
              </w:rPr>
            </w:pPr>
          </w:p>
          <w:p w14:paraId="51DFFD45" w14:textId="5EDF4084" w:rsidR="003F01D0" w:rsidRPr="00C07A42" w:rsidRDefault="003F01D0" w:rsidP="00090D5C">
            <w:pPr>
              <w:rPr>
                <w:rFonts w:ascii="Arial" w:hAnsi="Arial" w:cs="Arial"/>
              </w:rPr>
            </w:pPr>
            <w:r>
              <w:rPr>
                <w:rFonts w:ascii="Arial" w:hAnsi="Arial" w:cs="Arial"/>
              </w:rPr>
              <w:t>Agendas for 4/10/14 and 4/28/14 meetings were approved. (Enrique moved, Vicky seconded, and all agreed, with one abstention.)</w:t>
            </w:r>
          </w:p>
        </w:tc>
      </w:tr>
      <w:tr w:rsidR="00A156D2" w14:paraId="6893FB2B" w14:textId="77777777" w:rsidTr="00F812E1">
        <w:trPr>
          <w:trHeight w:val="260"/>
        </w:trPr>
        <w:tc>
          <w:tcPr>
            <w:tcW w:w="3160" w:type="dxa"/>
          </w:tcPr>
          <w:p w14:paraId="731FEA3C" w14:textId="4D2BAFE1" w:rsidR="00A156D2" w:rsidRDefault="00A156D2" w:rsidP="00F812E1">
            <w:pPr>
              <w:autoSpaceDE w:val="0"/>
              <w:autoSpaceDN w:val="0"/>
              <w:adjustRightInd w:val="0"/>
              <w:ind w:left="-18"/>
              <w:rPr>
                <w:rFonts w:ascii="Arial" w:hAnsi="Arial" w:cs="Arial"/>
                <w:color w:val="000000"/>
              </w:rPr>
            </w:pPr>
            <w:r>
              <w:rPr>
                <w:rFonts w:ascii="Arial" w:hAnsi="Arial" w:cs="Arial"/>
                <w:color w:val="000000"/>
              </w:rPr>
              <w:t>Task Group Membership</w:t>
            </w:r>
          </w:p>
          <w:p w14:paraId="0A115051" w14:textId="77777777" w:rsidR="00A156D2" w:rsidRDefault="00A156D2" w:rsidP="00A156D2">
            <w:pPr>
              <w:pStyle w:val="ListParagraph"/>
              <w:numPr>
                <w:ilvl w:val="0"/>
                <w:numId w:val="26"/>
              </w:numPr>
              <w:autoSpaceDE w:val="0"/>
              <w:autoSpaceDN w:val="0"/>
              <w:adjustRightInd w:val="0"/>
              <w:rPr>
                <w:rFonts w:ascii="Arial" w:hAnsi="Arial" w:cs="Arial"/>
                <w:color w:val="000000"/>
              </w:rPr>
            </w:pPr>
            <w:r>
              <w:rPr>
                <w:rFonts w:ascii="Arial" w:hAnsi="Arial" w:cs="Arial"/>
                <w:color w:val="000000"/>
              </w:rPr>
              <w:t>Additional members</w:t>
            </w:r>
          </w:p>
          <w:p w14:paraId="10069503" w14:textId="77777777" w:rsidR="00A156D2" w:rsidRDefault="00A156D2" w:rsidP="00A156D2">
            <w:pPr>
              <w:pStyle w:val="ListParagraph"/>
              <w:numPr>
                <w:ilvl w:val="0"/>
                <w:numId w:val="26"/>
              </w:numPr>
              <w:autoSpaceDE w:val="0"/>
              <w:autoSpaceDN w:val="0"/>
              <w:adjustRightInd w:val="0"/>
              <w:rPr>
                <w:rFonts w:ascii="Arial" w:hAnsi="Arial" w:cs="Arial"/>
                <w:color w:val="000000"/>
              </w:rPr>
            </w:pPr>
            <w:r>
              <w:rPr>
                <w:rFonts w:ascii="Arial" w:hAnsi="Arial" w:cs="Arial"/>
                <w:color w:val="000000"/>
              </w:rPr>
              <w:t>Co-chair hours</w:t>
            </w:r>
          </w:p>
          <w:p w14:paraId="01FEF3C8" w14:textId="00E0A025" w:rsidR="00A156D2" w:rsidRPr="00A156D2" w:rsidRDefault="00A156D2" w:rsidP="00A156D2">
            <w:pPr>
              <w:autoSpaceDE w:val="0"/>
              <w:autoSpaceDN w:val="0"/>
              <w:adjustRightInd w:val="0"/>
              <w:rPr>
                <w:rFonts w:ascii="Arial" w:hAnsi="Arial" w:cs="Arial"/>
                <w:color w:val="000000"/>
              </w:rPr>
            </w:pPr>
          </w:p>
        </w:tc>
        <w:tc>
          <w:tcPr>
            <w:tcW w:w="7100" w:type="dxa"/>
          </w:tcPr>
          <w:p w14:paraId="20F6AFD6" w14:textId="389EFBE8" w:rsidR="00F812E1" w:rsidRDefault="003F01D0" w:rsidP="00F812E1">
            <w:pPr>
              <w:rPr>
                <w:rFonts w:ascii="Arial" w:hAnsi="Arial" w:cs="Arial"/>
              </w:rPr>
            </w:pPr>
            <w:r>
              <w:rPr>
                <w:rFonts w:ascii="Arial" w:hAnsi="Arial" w:cs="Arial"/>
              </w:rPr>
              <w:t xml:space="preserve">Discussion included weighing the benefits against the drawbacks. Having more individuals on a task group could help distribute the workload, ensure diverse voices (e.g., counselors, student services), and reduce the amount of sharing the members have to do with other colleagues at the districts. Drawbacks include a strong district voice swaying the group. </w:t>
            </w:r>
            <w:r w:rsidR="00F812E1">
              <w:rPr>
                <w:rFonts w:ascii="Arial" w:hAnsi="Arial" w:cs="Arial"/>
              </w:rPr>
              <w:t>Considerations included too much back and forth for the groups after they have already started and how to balance the perspective of the community college with the unified schools districts’.</w:t>
            </w:r>
          </w:p>
          <w:p w14:paraId="4AFE4472" w14:textId="0F3621EE" w:rsidR="00F812E1" w:rsidRDefault="00F812E1" w:rsidP="00F812E1">
            <w:pPr>
              <w:rPr>
                <w:rFonts w:ascii="Arial" w:hAnsi="Arial" w:cs="Arial"/>
              </w:rPr>
            </w:pPr>
            <w:r>
              <w:rPr>
                <w:rFonts w:ascii="Arial" w:hAnsi="Arial" w:cs="Arial"/>
              </w:rPr>
              <w:t>Consensus was that f</w:t>
            </w:r>
            <w:r w:rsidRPr="00F812E1">
              <w:rPr>
                <w:rFonts w:ascii="Arial" w:hAnsi="Arial" w:cs="Arial"/>
              </w:rPr>
              <w:t>or each program area, each district can have two representatives with the possibility of a third resource (volunteer) who attends as necessary. The volunteer can be changed based on the topic of discussion. The official list will have up to two members per program area per district an</w:t>
            </w:r>
            <w:r>
              <w:rPr>
                <w:rFonts w:ascii="Arial" w:hAnsi="Arial" w:cs="Arial"/>
              </w:rPr>
              <w:t>d will be posted on our website, including constituent group (e.g., faculty, administrator).</w:t>
            </w:r>
          </w:p>
          <w:p w14:paraId="2CDAFFCC" w14:textId="692F57AB" w:rsidR="00A156D2" w:rsidRPr="00B020D2" w:rsidRDefault="00F812E1" w:rsidP="00F812E1">
            <w:pPr>
              <w:rPr>
                <w:rFonts w:ascii="Arial" w:hAnsi="Arial" w:cs="Arial"/>
              </w:rPr>
            </w:pPr>
            <w:r>
              <w:rPr>
                <w:rFonts w:ascii="Arial" w:hAnsi="Arial" w:cs="Arial"/>
              </w:rPr>
              <w:t>This structure would be tried out for the next few weeks and if further conversation is necessary, it will be an agenda item in a future steering committee meeting.</w:t>
            </w:r>
          </w:p>
        </w:tc>
      </w:tr>
      <w:tr w:rsidR="00A156D2" w14:paraId="3836D043" w14:textId="77777777" w:rsidTr="00F812E1">
        <w:trPr>
          <w:trHeight w:val="260"/>
        </w:trPr>
        <w:tc>
          <w:tcPr>
            <w:tcW w:w="3160" w:type="dxa"/>
          </w:tcPr>
          <w:p w14:paraId="3372EAED" w14:textId="32C47943" w:rsidR="00A156D2" w:rsidRDefault="00A156D2" w:rsidP="00F812E1">
            <w:pPr>
              <w:autoSpaceDE w:val="0"/>
              <w:autoSpaceDN w:val="0"/>
              <w:adjustRightInd w:val="0"/>
              <w:ind w:left="-18"/>
              <w:rPr>
                <w:rFonts w:ascii="Arial" w:hAnsi="Arial" w:cs="Arial"/>
                <w:color w:val="000000"/>
              </w:rPr>
            </w:pPr>
            <w:r>
              <w:rPr>
                <w:rFonts w:ascii="Arial" w:hAnsi="Arial" w:cs="Arial"/>
                <w:color w:val="000000"/>
              </w:rPr>
              <w:t>Streamlining the Data Requests for the Tables</w:t>
            </w:r>
          </w:p>
          <w:p w14:paraId="3F052506" w14:textId="436A2900" w:rsidR="004D74D2" w:rsidRDefault="004D74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Revised templates</w:t>
            </w:r>
          </w:p>
          <w:p w14:paraId="0F0266D3" w14:textId="1576224D" w:rsidR="00A156D2" w:rsidRPr="00A156D2" w:rsidRDefault="00A156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 xml:space="preserve">Can the district </w:t>
            </w:r>
            <w:r>
              <w:rPr>
                <w:rFonts w:ascii="Arial" w:hAnsi="Arial" w:cs="Arial"/>
                <w:color w:val="000000"/>
              </w:rPr>
              <w:lastRenderedPageBreak/>
              <w:t>administrators take care of the data requests?</w:t>
            </w:r>
            <w:r>
              <w:rPr>
                <w:rFonts w:ascii="Arial" w:hAnsi="Arial" w:cs="Arial"/>
                <w:color w:val="000000"/>
              </w:rPr>
              <w:br/>
            </w:r>
          </w:p>
        </w:tc>
        <w:tc>
          <w:tcPr>
            <w:tcW w:w="7100" w:type="dxa"/>
          </w:tcPr>
          <w:p w14:paraId="58433554" w14:textId="77777777" w:rsidR="00A156D2" w:rsidRDefault="00F812E1" w:rsidP="00F812E1">
            <w:pPr>
              <w:rPr>
                <w:rFonts w:ascii="Arial" w:hAnsi="Arial" w:cs="Arial"/>
              </w:rPr>
            </w:pPr>
            <w:r>
              <w:rPr>
                <w:rFonts w:ascii="Arial" w:hAnsi="Arial" w:cs="Arial"/>
              </w:rPr>
              <w:lastRenderedPageBreak/>
              <w:t>The state workgroup released revised data tables for Objectives 1 and 2.</w:t>
            </w:r>
          </w:p>
          <w:p w14:paraId="389FEC54" w14:textId="2FC29864" w:rsidR="00F812E1" w:rsidRDefault="00F812E1" w:rsidP="00F812E1">
            <w:pPr>
              <w:rPr>
                <w:rFonts w:ascii="Arial" w:hAnsi="Arial" w:cs="Arial"/>
              </w:rPr>
            </w:pPr>
            <w:r>
              <w:rPr>
                <w:rFonts w:ascii="Arial" w:hAnsi="Arial" w:cs="Arial"/>
              </w:rPr>
              <w:t xml:space="preserve">The committee agreed to streamline data requests by having the administrators provide the data for all task groups via e-mail to </w:t>
            </w:r>
            <w:r>
              <w:rPr>
                <w:rFonts w:ascii="Arial" w:hAnsi="Arial" w:cs="Arial"/>
              </w:rPr>
              <w:lastRenderedPageBreak/>
              <w:t>Priya by Friday, May 16, 2014.</w:t>
            </w:r>
          </w:p>
          <w:p w14:paraId="6A3A36FE" w14:textId="77777777" w:rsidR="00F812E1" w:rsidRDefault="00F812E1" w:rsidP="00F812E1">
            <w:pPr>
              <w:rPr>
                <w:rFonts w:ascii="Arial" w:hAnsi="Arial" w:cs="Arial"/>
              </w:rPr>
            </w:pPr>
            <w:r>
              <w:rPr>
                <w:rFonts w:ascii="Arial" w:hAnsi="Arial" w:cs="Arial"/>
              </w:rPr>
              <w:t>Questions on the tables:</w:t>
            </w:r>
          </w:p>
          <w:p w14:paraId="575CF5F7" w14:textId="77777777" w:rsidR="00F812E1" w:rsidRDefault="00F812E1" w:rsidP="00F812E1">
            <w:pPr>
              <w:rPr>
                <w:rFonts w:ascii="Arial" w:hAnsi="Arial" w:cs="Arial"/>
              </w:rPr>
            </w:pPr>
            <w:r>
              <w:rPr>
                <w:rFonts w:ascii="Arial" w:hAnsi="Arial" w:cs="Arial"/>
              </w:rPr>
              <w:t>Table 1.1B Total Dollar Amount by Funding Source for Consortium Members</w:t>
            </w:r>
          </w:p>
          <w:p w14:paraId="2454FA12" w14:textId="24624940" w:rsidR="00F812E1" w:rsidRDefault="00F812E1" w:rsidP="00813311">
            <w:pPr>
              <w:pStyle w:val="ListParagraph"/>
              <w:numPr>
                <w:ilvl w:val="0"/>
                <w:numId w:val="30"/>
              </w:numPr>
              <w:rPr>
                <w:rFonts w:ascii="Arial" w:hAnsi="Arial" w:cs="Arial"/>
              </w:rPr>
            </w:pPr>
            <w:r>
              <w:rPr>
                <w:rFonts w:ascii="Arial" w:hAnsi="Arial" w:cs="Arial"/>
              </w:rPr>
              <w:t>How is “Apportionment” defined? Is it what the district receives versus what the adult school receives? It would be recommended that both numbers be shared (to show the percentage of the total apportionment received) and be included in the narrative.</w:t>
            </w:r>
          </w:p>
          <w:p w14:paraId="6CBEB06C" w14:textId="0E964C5A" w:rsidR="00F812E1" w:rsidRDefault="00813311" w:rsidP="00813311">
            <w:pPr>
              <w:pStyle w:val="ListParagraph"/>
              <w:numPr>
                <w:ilvl w:val="0"/>
                <w:numId w:val="30"/>
              </w:numPr>
              <w:rPr>
                <w:rFonts w:ascii="Arial" w:hAnsi="Arial" w:cs="Arial"/>
              </w:rPr>
            </w:pPr>
            <w:r>
              <w:rPr>
                <w:rFonts w:ascii="Arial" w:hAnsi="Arial" w:cs="Arial"/>
              </w:rPr>
              <w:t>Is this table exclusively for partners? The old version included member districts as well.</w:t>
            </w:r>
          </w:p>
          <w:p w14:paraId="73FCEF5A" w14:textId="4977519F" w:rsidR="00813311" w:rsidRDefault="00813311" w:rsidP="00813311">
            <w:pPr>
              <w:pStyle w:val="ListParagraph"/>
              <w:numPr>
                <w:ilvl w:val="0"/>
                <w:numId w:val="30"/>
              </w:numPr>
              <w:rPr>
                <w:rFonts w:ascii="Arial" w:hAnsi="Arial" w:cs="Arial"/>
              </w:rPr>
            </w:pPr>
            <w:r>
              <w:rPr>
                <w:rFonts w:ascii="Arial" w:hAnsi="Arial" w:cs="Arial"/>
              </w:rPr>
              <w:t>Do we need to do this for each program area or the district as a whole?</w:t>
            </w:r>
          </w:p>
          <w:p w14:paraId="0703A535" w14:textId="77777777" w:rsidR="00813311" w:rsidRDefault="00813311" w:rsidP="00813311">
            <w:pPr>
              <w:rPr>
                <w:rFonts w:ascii="Arial" w:hAnsi="Arial" w:cs="Arial"/>
              </w:rPr>
            </w:pPr>
            <w:r>
              <w:rPr>
                <w:rFonts w:ascii="Arial" w:hAnsi="Arial" w:cs="Arial"/>
              </w:rPr>
              <w:t>Table 2 Evaluation of Existing Adult Education Enrollment</w:t>
            </w:r>
          </w:p>
          <w:p w14:paraId="6A2F6B5D" w14:textId="36FBC68D" w:rsidR="00813311" w:rsidRPr="00813311" w:rsidRDefault="00813311" w:rsidP="00813311">
            <w:pPr>
              <w:pStyle w:val="ListParagraph"/>
              <w:numPr>
                <w:ilvl w:val="0"/>
                <w:numId w:val="30"/>
              </w:numPr>
              <w:rPr>
                <w:rFonts w:ascii="Arial" w:hAnsi="Arial" w:cs="Arial"/>
              </w:rPr>
            </w:pPr>
            <w:r>
              <w:rPr>
                <w:rFonts w:ascii="Arial" w:hAnsi="Arial" w:cs="Arial"/>
              </w:rPr>
              <w:t xml:space="preserve">Is this table exclusively </w:t>
            </w:r>
            <w:r>
              <w:rPr>
                <w:rFonts w:ascii="Arial" w:hAnsi="Arial" w:cs="Arial"/>
              </w:rPr>
              <w:t xml:space="preserve">for </w:t>
            </w:r>
            <w:r>
              <w:rPr>
                <w:rFonts w:ascii="Arial" w:hAnsi="Arial" w:cs="Arial"/>
              </w:rPr>
              <w:t>partners? The old version included member districts as well.</w:t>
            </w:r>
          </w:p>
        </w:tc>
      </w:tr>
      <w:tr w:rsidR="00A156D2" w14:paraId="6F8D41FC" w14:textId="77777777" w:rsidTr="00F812E1">
        <w:trPr>
          <w:trHeight w:val="260"/>
        </w:trPr>
        <w:tc>
          <w:tcPr>
            <w:tcW w:w="3160" w:type="dxa"/>
          </w:tcPr>
          <w:p w14:paraId="7F61CF20" w14:textId="31E5A83D" w:rsidR="00A156D2" w:rsidRDefault="00A156D2" w:rsidP="00F812E1">
            <w:pPr>
              <w:autoSpaceDE w:val="0"/>
              <w:autoSpaceDN w:val="0"/>
              <w:adjustRightInd w:val="0"/>
              <w:ind w:left="-18"/>
              <w:rPr>
                <w:rFonts w:ascii="Arial" w:hAnsi="Arial" w:cs="Arial"/>
                <w:color w:val="000000"/>
              </w:rPr>
            </w:pPr>
            <w:r>
              <w:rPr>
                <w:rFonts w:ascii="Arial" w:hAnsi="Arial" w:cs="Arial"/>
                <w:color w:val="000000"/>
              </w:rPr>
              <w:lastRenderedPageBreak/>
              <w:t>Partners</w:t>
            </w:r>
          </w:p>
          <w:p w14:paraId="5D38BF8F" w14:textId="77777777" w:rsidR="00A156D2" w:rsidRDefault="00A156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What does their engagement look like?</w:t>
            </w:r>
          </w:p>
          <w:p w14:paraId="29E06F63" w14:textId="700E9187" w:rsidR="00A156D2" w:rsidRPr="00A156D2" w:rsidRDefault="00A156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How should it be structured?</w:t>
            </w:r>
            <w:r>
              <w:rPr>
                <w:rFonts w:ascii="Arial" w:hAnsi="Arial" w:cs="Arial"/>
                <w:color w:val="000000"/>
              </w:rPr>
              <w:br/>
            </w:r>
          </w:p>
        </w:tc>
        <w:tc>
          <w:tcPr>
            <w:tcW w:w="7100" w:type="dxa"/>
          </w:tcPr>
          <w:p w14:paraId="69A0DF3C" w14:textId="60B12BD1" w:rsidR="00A156D2" w:rsidRDefault="00F812E1" w:rsidP="00F812E1">
            <w:pPr>
              <w:rPr>
                <w:rFonts w:ascii="Arial" w:hAnsi="Arial" w:cs="Arial"/>
              </w:rPr>
            </w:pPr>
            <w:r>
              <w:rPr>
                <w:rFonts w:ascii="Arial" w:hAnsi="Arial" w:cs="Arial"/>
              </w:rPr>
              <w:t>Preliminary discussions about engaging with partners</w:t>
            </w:r>
            <w:r w:rsidR="00813311">
              <w:rPr>
                <w:rFonts w:ascii="Arial" w:hAnsi="Arial" w:cs="Arial"/>
              </w:rPr>
              <w:t>, internal and external</w:t>
            </w:r>
            <w:r>
              <w:rPr>
                <w:rFonts w:ascii="Arial" w:hAnsi="Arial" w:cs="Arial"/>
              </w:rPr>
              <w:t>. We want to find a way to include their voices and perspectives in the regional planning, how they engage with adult learners in our region.</w:t>
            </w:r>
          </w:p>
          <w:p w14:paraId="53C0C436" w14:textId="77777777" w:rsidR="00F812E1" w:rsidRDefault="00F812E1" w:rsidP="00F812E1">
            <w:pPr>
              <w:rPr>
                <w:rFonts w:ascii="Arial" w:hAnsi="Arial" w:cs="Arial"/>
              </w:rPr>
            </w:pPr>
            <w:r>
              <w:rPr>
                <w:rFonts w:ascii="Arial" w:hAnsi="Arial" w:cs="Arial"/>
              </w:rPr>
              <w:t>Reviewed potential partners list from February and agreed to ask task groups to share additional ones.</w:t>
            </w:r>
          </w:p>
          <w:p w14:paraId="3312A0FE" w14:textId="77777777" w:rsidR="00F812E1" w:rsidRDefault="00F812E1" w:rsidP="00F812E1">
            <w:pPr>
              <w:rPr>
                <w:rFonts w:ascii="Arial" w:hAnsi="Arial" w:cs="Arial"/>
              </w:rPr>
            </w:pPr>
            <w:r>
              <w:rPr>
                <w:rFonts w:ascii="Arial" w:hAnsi="Arial" w:cs="Arial"/>
              </w:rPr>
              <w:t>Considered having an event, maybe ½ day event</w:t>
            </w:r>
            <w:r w:rsidR="00813311">
              <w:rPr>
                <w:rFonts w:ascii="Arial" w:hAnsi="Arial" w:cs="Arial"/>
              </w:rPr>
              <w:t xml:space="preserve"> in June</w:t>
            </w:r>
            <w:r>
              <w:rPr>
                <w:rFonts w:ascii="Arial" w:hAnsi="Arial" w:cs="Arial"/>
              </w:rPr>
              <w:t>, where partners are asked to attend and help with regional planning.</w:t>
            </w:r>
          </w:p>
          <w:p w14:paraId="221DE2A9" w14:textId="6CB70E4E" w:rsidR="00813311" w:rsidRPr="00B020D2" w:rsidRDefault="00813311" w:rsidP="00F812E1">
            <w:pPr>
              <w:rPr>
                <w:rFonts w:ascii="Arial" w:hAnsi="Arial" w:cs="Arial"/>
              </w:rPr>
            </w:pPr>
            <w:r>
              <w:rPr>
                <w:rFonts w:ascii="Arial" w:hAnsi="Arial" w:cs="Arial"/>
              </w:rPr>
              <w:t>Further discussion in June meeting.</w:t>
            </w:r>
          </w:p>
        </w:tc>
      </w:tr>
      <w:tr w:rsidR="00A156D2" w14:paraId="032C9195" w14:textId="77777777" w:rsidTr="00F812E1">
        <w:trPr>
          <w:trHeight w:val="260"/>
        </w:trPr>
        <w:tc>
          <w:tcPr>
            <w:tcW w:w="3160" w:type="dxa"/>
          </w:tcPr>
          <w:p w14:paraId="7D6F4417" w14:textId="25343B90" w:rsidR="00A156D2" w:rsidRDefault="00A156D2" w:rsidP="00F812E1">
            <w:pPr>
              <w:autoSpaceDE w:val="0"/>
              <w:autoSpaceDN w:val="0"/>
              <w:adjustRightInd w:val="0"/>
              <w:ind w:left="-18"/>
              <w:rPr>
                <w:rFonts w:ascii="Arial" w:hAnsi="Arial" w:cs="Arial"/>
                <w:color w:val="000000"/>
              </w:rPr>
            </w:pPr>
            <w:r>
              <w:rPr>
                <w:rFonts w:ascii="Arial" w:hAnsi="Arial" w:cs="Arial"/>
                <w:color w:val="000000"/>
              </w:rPr>
              <w:t>Transparency</w:t>
            </w:r>
          </w:p>
          <w:p w14:paraId="19296386" w14:textId="3F8E0EA8" w:rsidR="00A156D2" w:rsidRPr="00A156D2" w:rsidRDefault="00A156D2" w:rsidP="00A156D2">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Publicize which information?</w:t>
            </w:r>
            <w:r>
              <w:rPr>
                <w:rFonts w:ascii="Arial" w:hAnsi="Arial" w:cs="Arial"/>
                <w:color w:val="000000"/>
              </w:rPr>
              <w:br/>
            </w:r>
          </w:p>
        </w:tc>
        <w:tc>
          <w:tcPr>
            <w:tcW w:w="7100" w:type="dxa"/>
          </w:tcPr>
          <w:p w14:paraId="63DBD2A3" w14:textId="45ACC4F7" w:rsidR="00A156D2" w:rsidRPr="00B020D2" w:rsidRDefault="00813311" w:rsidP="00F812E1">
            <w:pPr>
              <w:rPr>
                <w:rFonts w:ascii="Arial" w:hAnsi="Arial" w:cs="Arial"/>
              </w:rPr>
            </w:pPr>
            <w:r>
              <w:rPr>
                <w:rFonts w:ascii="Arial" w:hAnsi="Arial" w:cs="Arial"/>
              </w:rPr>
              <w:t>Steering committee meeting minutes and finished documents.</w:t>
            </w:r>
          </w:p>
        </w:tc>
      </w:tr>
      <w:tr w:rsidR="00A156D2" w14:paraId="04FF494D" w14:textId="77777777" w:rsidTr="00F812E1">
        <w:trPr>
          <w:trHeight w:val="260"/>
        </w:trPr>
        <w:tc>
          <w:tcPr>
            <w:tcW w:w="3160" w:type="dxa"/>
          </w:tcPr>
          <w:p w14:paraId="17F88BDF" w14:textId="6EEC3C00" w:rsidR="00A156D2" w:rsidRDefault="00A156D2" w:rsidP="00F812E1">
            <w:pPr>
              <w:autoSpaceDE w:val="0"/>
              <w:autoSpaceDN w:val="0"/>
              <w:adjustRightInd w:val="0"/>
              <w:ind w:left="-18"/>
              <w:rPr>
                <w:rFonts w:ascii="Arial" w:hAnsi="Arial" w:cs="Arial"/>
                <w:color w:val="000000"/>
              </w:rPr>
            </w:pPr>
            <w:r>
              <w:rPr>
                <w:rFonts w:ascii="Arial" w:hAnsi="Arial" w:cs="Arial"/>
                <w:color w:val="000000"/>
              </w:rPr>
              <w:t>Program Offerings</w:t>
            </w:r>
          </w:p>
          <w:p w14:paraId="5FD9B6DA" w14:textId="77C6C5C1" w:rsidR="00A156D2" w:rsidRPr="00A156D2" w:rsidRDefault="00A156D2" w:rsidP="00A156D2">
            <w:pPr>
              <w:pStyle w:val="ListParagraph"/>
              <w:numPr>
                <w:ilvl w:val="0"/>
                <w:numId w:val="28"/>
              </w:numPr>
              <w:autoSpaceDE w:val="0"/>
              <w:autoSpaceDN w:val="0"/>
              <w:adjustRightInd w:val="0"/>
              <w:rPr>
                <w:rFonts w:ascii="Arial" w:hAnsi="Arial" w:cs="Arial"/>
                <w:color w:val="000000"/>
              </w:rPr>
            </w:pPr>
            <w:r>
              <w:rPr>
                <w:rFonts w:ascii="Arial" w:hAnsi="Arial" w:cs="Arial"/>
                <w:color w:val="000000"/>
              </w:rPr>
              <w:t>Which district offers which programs?</w:t>
            </w:r>
          </w:p>
        </w:tc>
        <w:tc>
          <w:tcPr>
            <w:tcW w:w="7100" w:type="dxa"/>
          </w:tcPr>
          <w:p w14:paraId="0E10F081" w14:textId="100D10AC" w:rsidR="00A156D2" w:rsidRDefault="00813311" w:rsidP="00F812E1">
            <w:pPr>
              <w:rPr>
                <w:rFonts w:ascii="Arial" w:hAnsi="Arial" w:cs="Arial"/>
              </w:rPr>
            </w:pPr>
            <w:r>
              <w:rPr>
                <w:rFonts w:ascii="Arial" w:hAnsi="Arial" w:cs="Arial"/>
              </w:rPr>
              <w:t>Filled gaps for districts.</w:t>
            </w:r>
          </w:p>
          <w:p w14:paraId="3AE74F58" w14:textId="77777777" w:rsidR="00A156D2" w:rsidRDefault="00A156D2" w:rsidP="00F812E1">
            <w:pPr>
              <w:rPr>
                <w:rFonts w:ascii="Arial" w:hAnsi="Arial" w:cs="Arial"/>
              </w:rPr>
            </w:pPr>
          </w:p>
          <w:p w14:paraId="56DBAB93" w14:textId="77777777" w:rsidR="00A156D2" w:rsidRDefault="00A156D2" w:rsidP="00F812E1">
            <w:pPr>
              <w:rPr>
                <w:rFonts w:ascii="Arial" w:hAnsi="Arial" w:cs="Arial"/>
              </w:rPr>
            </w:pPr>
          </w:p>
          <w:p w14:paraId="3E48AC1A" w14:textId="77777777" w:rsidR="00A156D2" w:rsidRPr="00B020D2" w:rsidRDefault="00A156D2" w:rsidP="00F812E1">
            <w:pPr>
              <w:rPr>
                <w:rFonts w:ascii="Arial" w:hAnsi="Arial" w:cs="Arial"/>
              </w:rPr>
            </w:pPr>
          </w:p>
        </w:tc>
      </w:tr>
      <w:tr w:rsidR="005F0530" w14:paraId="22DF0241" w14:textId="77777777" w:rsidTr="006A6D7D">
        <w:trPr>
          <w:trHeight w:val="260"/>
        </w:trPr>
        <w:tc>
          <w:tcPr>
            <w:tcW w:w="3160" w:type="dxa"/>
          </w:tcPr>
          <w:p w14:paraId="1F9D83C3" w14:textId="78BBEAB7" w:rsidR="005F0530" w:rsidRDefault="00A156D2" w:rsidP="00C07A42">
            <w:pPr>
              <w:autoSpaceDE w:val="0"/>
              <w:autoSpaceDN w:val="0"/>
              <w:adjustRightInd w:val="0"/>
              <w:ind w:left="-18"/>
              <w:rPr>
                <w:rFonts w:ascii="Arial" w:hAnsi="Arial" w:cs="Arial"/>
                <w:color w:val="000000"/>
              </w:rPr>
            </w:pPr>
            <w:r>
              <w:rPr>
                <w:rFonts w:ascii="Arial" w:hAnsi="Arial" w:cs="Arial"/>
                <w:color w:val="000000"/>
              </w:rPr>
              <w:t>Documents</w:t>
            </w:r>
          </w:p>
          <w:p w14:paraId="4D544B99" w14:textId="291E1A72" w:rsidR="00A156D2" w:rsidRPr="00A156D2" w:rsidRDefault="00A156D2" w:rsidP="00A156D2">
            <w:pPr>
              <w:pStyle w:val="ListParagraph"/>
              <w:numPr>
                <w:ilvl w:val="0"/>
                <w:numId w:val="28"/>
              </w:numPr>
              <w:autoSpaceDE w:val="0"/>
              <w:autoSpaceDN w:val="0"/>
              <w:adjustRightInd w:val="0"/>
              <w:rPr>
                <w:rFonts w:ascii="Arial" w:hAnsi="Arial" w:cs="Arial"/>
                <w:color w:val="000000"/>
              </w:rPr>
            </w:pPr>
            <w:r>
              <w:rPr>
                <w:rFonts w:ascii="Arial" w:hAnsi="Arial" w:cs="Arial"/>
                <w:color w:val="000000"/>
              </w:rPr>
              <w:t xml:space="preserve">Self-Study and </w:t>
            </w:r>
            <w:r w:rsidRPr="00A156D2">
              <w:rPr>
                <w:rFonts w:ascii="Arial" w:hAnsi="Arial" w:cs="Arial"/>
                <w:color w:val="000000"/>
              </w:rPr>
              <w:t>WIA</w:t>
            </w:r>
          </w:p>
        </w:tc>
        <w:tc>
          <w:tcPr>
            <w:tcW w:w="7100" w:type="dxa"/>
          </w:tcPr>
          <w:p w14:paraId="02E93D37" w14:textId="60456143" w:rsidR="005F0530" w:rsidRDefault="00813311" w:rsidP="00A156D2">
            <w:pPr>
              <w:rPr>
                <w:rFonts w:ascii="Arial" w:hAnsi="Arial" w:cs="Arial"/>
              </w:rPr>
            </w:pPr>
            <w:r>
              <w:rPr>
                <w:rFonts w:ascii="Arial" w:hAnsi="Arial" w:cs="Arial"/>
              </w:rPr>
              <w:t>Identified and informed remaining districts.</w:t>
            </w:r>
          </w:p>
          <w:p w14:paraId="48DE2A7E" w14:textId="77777777" w:rsidR="00A156D2" w:rsidRDefault="00A156D2" w:rsidP="00A156D2">
            <w:pPr>
              <w:rPr>
                <w:rFonts w:ascii="Arial" w:hAnsi="Arial" w:cs="Arial"/>
              </w:rPr>
            </w:pPr>
          </w:p>
          <w:p w14:paraId="02F59843" w14:textId="520B3EA4" w:rsidR="00A156D2" w:rsidRPr="00B020D2" w:rsidRDefault="00A156D2" w:rsidP="00A156D2">
            <w:pPr>
              <w:rPr>
                <w:rFonts w:ascii="Arial" w:hAnsi="Arial" w:cs="Arial"/>
              </w:rPr>
            </w:pPr>
          </w:p>
        </w:tc>
      </w:tr>
      <w:tr w:rsidR="00E433A9" w14:paraId="797D8A32" w14:textId="77777777" w:rsidTr="004D74D2">
        <w:trPr>
          <w:trHeight w:val="242"/>
        </w:trPr>
        <w:tc>
          <w:tcPr>
            <w:tcW w:w="3160" w:type="dxa"/>
          </w:tcPr>
          <w:p w14:paraId="6D39D337" w14:textId="17C60EE8" w:rsidR="005F0530" w:rsidRPr="009A4666" w:rsidRDefault="00A156D2" w:rsidP="009A4666">
            <w:pPr>
              <w:autoSpaceDE w:val="0"/>
              <w:autoSpaceDN w:val="0"/>
              <w:adjustRightInd w:val="0"/>
              <w:rPr>
                <w:rFonts w:ascii="Arial" w:hAnsi="Arial" w:cs="Arial"/>
                <w:color w:val="000000"/>
              </w:rPr>
            </w:pPr>
            <w:r>
              <w:rPr>
                <w:rFonts w:ascii="Arial" w:hAnsi="Arial" w:cs="Arial"/>
                <w:color w:val="000000"/>
              </w:rPr>
              <w:t>Other Items</w:t>
            </w:r>
          </w:p>
        </w:tc>
        <w:tc>
          <w:tcPr>
            <w:tcW w:w="7100" w:type="dxa"/>
          </w:tcPr>
          <w:p w14:paraId="5E68E747" w14:textId="233B0762" w:rsidR="00DA32E3" w:rsidRDefault="00CC0F41" w:rsidP="005F0530">
            <w:pPr>
              <w:rPr>
                <w:rFonts w:ascii="Arial" w:hAnsi="Arial" w:cs="Arial"/>
              </w:rPr>
            </w:pPr>
            <w:r>
              <w:rPr>
                <w:rFonts w:ascii="Arial" w:hAnsi="Arial" w:cs="Arial"/>
              </w:rPr>
              <w:t>Considered having another in-person meeting towards the end of May</w:t>
            </w:r>
            <w:r w:rsidR="00FB07C8">
              <w:rPr>
                <w:rFonts w:ascii="Arial" w:hAnsi="Arial" w:cs="Arial"/>
              </w:rPr>
              <w:t xml:space="preserve"> to discuss partner engagement and address any emerging insights/questions from task groups.</w:t>
            </w:r>
            <w:bookmarkStart w:id="0" w:name="_GoBack"/>
            <w:bookmarkEnd w:id="0"/>
          </w:p>
        </w:tc>
      </w:tr>
    </w:tbl>
    <w:p w14:paraId="26E31674" w14:textId="77777777" w:rsidR="00573F2F" w:rsidRDefault="00573F2F" w:rsidP="00C07A42">
      <w:pPr>
        <w:rPr>
          <w:rFonts w:ascii="Arial" w:hAnsi="Arial" w:cs="Arial"/>
          <w:b/>
        </w:rPr>
      </w:pPr>
    </w:p>
    <w:p w14:paraId="5015A20C" w14:textId="54287488" w:rsidR="00B0277C" w:rsidRPr="00C07A42" w:rsidRDefault="00C07A42" w:rsidP="00C07A42">
      <w:pPr>
        <w:rPr>
          <w:rFonts w:ascii="Arial" w:hAnsi="Arial" w:cs="Arial"/>
          <w:b/>
        </w:rPr>
      </w:pPr>
      <w:r>
        <w:rPr>
          <w:rFonts w:ascii="Arial" w:hAnsi="Arial" w:cs="Arial"/>
          <w:b/>
        </w:rPr>
        <w:t>Future meetings:</w:t>
      </w:r>
      <w:r w:rsidR="002005D3">
        <w:rPr>
          <w:rFonts w:ascii="Arial" w:hAnsi="Arial" w:cs="Arial"/>
          <w:b/>
        </w:rPr>
        <w:t xml:space="preserve"> </w:t>
      </w:r>
      <w:r w:rsidR="008153E7">
        <w:rPr>
          <w:rFonts w:ascii="Arial" w:hAnsi="Arial" w:cs="Arial"/>
          <w:b/>
        </w:rPr>
        <w:t xml:space="preserve">Steering Committee meeting on Thursday, </w:t>
      </w:r>
      <w:r w:rsidR="00A156D2">
        <w:rPr>
          <w:rFonts w:ascii="Arial" w:hAnsi="Arial" w:cs="Arial"/>
          <w:b/>
        </w:rPr>
        <w:t>June 12</w:t>
      </w:r>
      <w:r w:rsidR="009A4666">
        <w:rPr>
          <w:rFonts w:ascii="Arial" w:hAnsi="Arial" w:cs="Arial"/>
          <w:b/>
        </w:rPr>
        <w:t xml:space="preserve"> from 12:30</w:t>
      </w:r>
      <w:r w:rsidR="008153E7">
        <w:rPr>
          <w:rFonts w:ascii="Arial" w:hAnsi="Arial" w:cs="Arial"/>
          <w:b/>
        </w:rPr>
        <w:t xml:space="preserve"> p.m.</w:t>
      </w:r>
      <w:r w:rsidR="009A4666">
        <w:rPr>
          <w:rFonts w:ascii="Arial" w:hAnsi="Arial" w:cs="Arial"/>
          <w:b/>
        </w:rPr>
        <w:t xml:space="preserve"> to 2:30 p.m.</w:t>
      </w:r>
      <w:r w:rsidR="008153E7">
        <w:rPr>
          <w:rFonts w:ascii="Arial" w:hAnsi="Arial" w:cs="Arial"/>
          <w:b/>
        </w:rPr>
        <w:t xml:space="preserve"> (2</w:t>
      </w:r>
      <w:r w:rsidR="008153E7" w:rsidRPr="008153E7">
        <w:rPr>
          <w:rFonts w:ascii="Arial" w:hAnsi="Arial" w:cs="Arial"/>
          <w:b/>
          <w:vertAlign w:val="superscript"/>
        </w:rPr>
        <w:t>nd</w:t>
      </w:r>
      <w:r w:rsidR="009A4666">
        <w:rPr>
          <w:rFonts w:ascii="Arial" w:hAnsi="Arial" w:cs="Arial"/>
          <w:b/>
        </w:rPr>
        <w:t xml:space="preserve"> Thursday of each month).</w:t>
      </w:r>
    </w:p>
    <w:sectPr w:rsidR="00B0277C" w:rsidRPr="00C07A42"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CA9B" w14:textId="77777777" w:rsidR="00F812E1" w:rsidRDefault="00F812E1" w:rsidP="00647BF4">
      <w:r>
        <w:separator/>
      </w:r>
    </w:p>
  </w:endnote>
  <w:endnote w:type="continuationSeparator" w:id="0">
    <w:p w14:paraId="1EEEBFDB" w14:textId="77777777" w:rsidR="00F812E1" w:rsidRDefault="00F812E1"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F812E1" w:rsidRDefault="00F812E1">
    <w:pPr>
      <w:pStyle w:val="Footer"/>
      <w:jc w:val="center"/>
    </w:pPr>
  </w:p>
  <w:p w14:paraId="0C2F9D72" w14:textId="77777777" w:rsidR="00F812E1" w:rsidRDefault="00F812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68178" w14:textId="77777777" w:rsidR="00F812E1" w:rsidRDefault="00F812E1" w:rsidP="00647BF4">
      <w:r>
        <w:separator/>
      </w:r>
    </w:p>
  </w:footnote>
  <w:footnote w:type="continuationSeparator" w:id="0">
    <w:p w14:paraId="33BEE40F" w14:textId="77777777" w:rsidR="00F812E1" w:rsidRDefault="00F812E1" w:rsidP="00647B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4A85E73"/>
    <w:multiLevelType w:val="hybridMultilevel"/>
    <w:tmpl w:val="75FE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914AE"/>
    <w:multiLevelType w:val="hybridMultilevel"/>
    <w:tmpl w:val="CA304D5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93BEB"/>
    <w:multiLevelType w:val="hybridMultilevel"/>
    <w:tmpl w:val="A7E477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FAB44B9"/>
    <w:multiLevelType w:val="hybridMultilevel"/>
    <w:tmpl w:val="5BE4CB8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734616"/>
    <w:multiLevelType w:val="hybridMultilevel"/>
    <w:tmpl w:val="10C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1091F"/>
    <w:multiLevelType w:val="hybridMultilevel"/>
    <w:tmpl w:val="1C343B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16"/>
  </w:num>
  <w:num w:numId="4">
    <w:abstractNumId w:val="7"/>
  </w:num>
  <w:num w:numId="5">
    <w:abstractNumId w:val="12"/>
  </w:num>
  <w:num w:numId="6">
    <w:abstractNumId w:val="26"/>
  </w:num>
  <w:num w:numId="7">
    <w:abstractNumId w:val="8"/>
  </w:num>
  <w:num w:numId="8">
    <w:abstractNumId w:val="3"/>
  </w:num>
  <w:num w:numId="9">
    <w:abstractNumId w:val="23"/>
  </w:num>
  <w:num w:numId="10">
    <w:abstractNumId w:val="9"/>
  </w:num>
  <w:num w:numId="11">
    <w:abstractNumId w:val="19"/>
  </w:num>
  <w:num w:numId="12">
    <w:abstractNumId w:val="28"/>
  </w:num>
  <w:num w:numId="13">
    <w:abstractNumId w:val="17"/>
  </w:num>
  <w:num w:numId="14">
    <w:abstractNumId w:val="1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0"/>
  </w:num>
  <w:num w:numId="17">
    <w:abstractNumId w:val="18"/>
  </w:num>
  <w:num w:numId="18">
    <w:abstractNumId w:val="1"/>
  </w:num>
  <w:num w:numId="19">
    <w:abstractNumId w:val="5"/>
  </w:num>
  <w:num w:numId="20">
    <w:abstractNumId w:val="25"/>
  </w:num>
  <w:num w:numId="21">
    <w:abstractNumId w:val="24"/>
  </w:num>
  <w:num w:numId="22">
    <w:abstractNumId w:val="6"/>
  </w:num>
  <w:num w:numId="23">
    <w:abstractNumId w:val="21"/>
  </w:num>
  <w:num w:numId="24">
    <w:abstractNumId w:val="14"/>
  </w:num>
  <w:num w:numId="25">
    <w:abstractNumId w:val="13"/>
  </w:num>
  <w:num w:numId="26">
    <w:abstractNumId w:val="11"/>
  </w:num>
  <w:num w:numId="27">
    <w:abstractNumId w:val="4"/>
  </w:num>
  <w:num w:numId="28">
    <w:abstractNumId w:val="22"/>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3CFD"/>
    <w:rsid w:val="00043F12"/>
    <w:rsid w:val="00057D5F"/>
    <w:rsid w:val="000818A8"/>
    <w:rsid w:val="00090D5C"/>
    <w:rsid w:val="000C7636"/>
    <w:rsid w:val="000D24F2"/>
    <w:rsid w:val="000D6489"/>
    <w:rsid w:val="00143DD7"/>
    <w:rsid w:val="001A3860"/>
    <w:rsid w:val="001A6840"/>
    <w:rsid w:val="001F3BCB"/>
    <w:rsid w:val="002005D3"/>
    <w:rsid w:val="00212E35"/>
    <w:rsid w:val="00247B1E"/>
    <w:rsid w:val="00255C05"/>
    <w:rsid w:val="002674B1"/>
    <w:rsid w:val="002701A6"/>
    <w:rsid w:val="00273544"/>
    <w:rsid w:val="002B7684"/>
    <w:rsid w:val="002C436B"/>
    <w:rsid w:val="002C6D3A"/>
    <w:rsid w:val="00327202"/>
    <w:rsid w:val="00365C81"/>
    <w:rsid w:val="003B3743"/>
    <w:rsid w:val="003B7E3D"/>
    <w:rsid w:val="003C4819"/>
    <w:rsid w:val="003D20BD"/>
    <w:rsid w:val="003E7372"/>
    <w:rsid w:val="003F01D0"/>
    <w:rsid w:val="004126A3"/>
    <w:rsid w:val="004478C9"/>
    <w:rsid w:val="00454151"/>
    <w:rsid w:val="0046279E"/>
    <w:rsid w:val="00467784"/>
    <w:rsid w:val="00480184"/>
    <w:rsid w:val="004A2E59"/>
    <w:rsid w:val="004D74D2"/>
    <w:rsid w:val="004F5882"/>
    <w:rsid w:val="0053148E"/>
    <w:rsid w:val="005403F0"/>
    <w:rsid w:val="005733BD"/>
    <w:rsid w:val="00573F2F"/>
    <w:rsid w:val="005D1A8B"/>
    <w:rsid w:val="005D1DE7"/>
    <w:rsid w:val="005D43CC"/>
    <w:rsid w:val="005F0530"/>
    <w:rsid w:val="005F47C6"/>
    <w:rsid w:val="0061206F"/>
    <w:rsid w:val="00614B16"/>
    <w:rsid w:val="0061601D"/>
    <w:rsid w:val="00644872"/>
    <w:rsid w:val="00647BF4"/>
    <w:rsid w:val="00671B45"/>
    <w:rsid w:val="006A6D7D"/>
    <w:rsid w:val="006C01AC"/>
    <w:rsid w:val="006C656A"/>
    <w:rsid w:val="006D5BF8"/>
    <w:rsid w:val="006D7B1B"/>
    <w:rsid w:val="006E0F7A"/>
    <w:rsid w:val="006E11E3"/>
    <w:rsid w:val="00707CAA"/>
    <w:rsid w:val="007143D5"/>
    <w:rsid w:val="0071637E"/>
    <w:rsid w:val="007322DF"/>
    <w:rsid w:val="00735EE8"/>
    <w:rsid w:val="007609D3"/>
    <w:rsid w:val="00775E94"/>
    <w:rsid w:val="007836C5"/>
    <w:rsid w:val="00784F50"/>
    <w:rsid w:val="007C2FDF"/>
    <w:rsid w:val="007C4892"/>
    <w:rsid w:val="007D24AF"/>
    <w:rsid w:val="007E732D"/>
    <w:rsid w:val="00813311"/>
    <w:rsid w:val="008153E7"/>
    <w:rsid w:val="0081664B"/>
    <w:rsid w:val="00826641"/>
    <w:rsid w:val="00833491"/>
    <w:rsid w:val="00833E6C"/>
    <w:rsid w:val="008425EB"/>
    <w:rsid w:val="008457FC"/>
    <w:rsid w:val="008D13D4"/>
    <w:rsid w:val="008E6D10"/>
    <w:rsid w:val="008F76FD"/>
    <w:rsid w:val="00907E07"/>
    <w:rsid w:val="00941B56"/>
    <w:rsid w:val="00971FDD"/>
    <w:rsid w:val="00986986"/>
    <w:rsid w:val="009A4666"/>
    <w:rsid w:val="009A5366"/>
    <w:rsid w:val="009C27CD"/>
    <w:rsid w:val="00A03BB0"/>
    <w:rsid w:val="00A156D2"/>
    <w:rsid w:val="00A21BF0"/>
    <w:rsid w:val="00A22AD0"/>
    <w:rsid w:val="00A37515"/>
    <w:rsid w:val="00A51442"/>
    <w:rsid w:val="00A71827"/>
    <w:rsid w:val="00AC4071"/>
    <w:rsid w:val="00AF59CA"/>
    <w:rsid w:val="00B020D2"/>
    <w:rsid w:val="00B0277C"/>
    <w:rsid w:val="00B7503D"/>
    <w:rsid w:val="00BB2C1C"/>
    <w:rsid w:val="00BC7750"/>
    <w:rsid w:val="00C07A42"/>
    <w:rsid w:val="00C36504"/>
    <w:rsid w:val="00C439A4"/>
    <w:rsid w:val="00C43CE7"/>
    <w:rsid w:val="00C77DBF"/>
    <w:rsid w:val="00C858FA"/>
    <w:rsid w:val="00CB331C"/>
    <w:rsid w:val="00CC0F41"/>
    <w:rsid w:val="00CD6EEB"/>
    <w:rsid w:val="00D00A55"/>
    <w:rsid w:val="00D22643"/>
    <w:rsid w:val="00D30816"/>
    <w:rsid w:val="00D45649"/>
    <w:rsid w:val="00D54C33"/>
    <w:rsid w:val="00D558F8"/>
    <w:rsid w:val="00D64D2A"/>
    <w:rsid w:val="00D667EA"/>
    <w:rsid w:val="00DA32E3"/>
    <w:rsid w:val="00DE1B70"/>
    <w:rsid w:val="00DF46BC"/>
    <w:rsid w:val="00E433A9"/>
    <w:rsid w:val="00E44C9C"/>
    <w:rsid w:val="00E47469"/>
    <w:rsid w:val="00E54578"/>
    <w:rsid w:val="00E73C7C"/>
    <w:rsid w:val="00EA42C4"/>
    <w:rsid w:val="00EC1C8D"/>
    <w:rsid w:val="00EF7450"/>
    <w:rsid w:val="00F02B05"/>
    <w:rsid w:val="00F112EB"/>
    <w:rsid w:val="00F16629"/>
    <w:rsid w:val="00F30D0D"/>
    <w:rsid w:val="00F603DA"/>
    <w:rsid w:val="00F60B67"/>
    <w:rsid w:val="00F74F74"/>
    <w:rsid w:val="00F812E1"/>
    <w:rsid w:val="00F85363"/>
    <w:rsid w:val="00F85AA9"/>
    <w:rsid w:val="00FA7EC5"/>
    <w:rsid w:val="00FB07C8"/>
    <w:rsid w:val="00FC646C"/>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1959986771">
      <w:bodyDiv w:val="1"/>
      <w:marLeft w:val="0"/>
      <w:marRight w:val="0"/>
      <w:marTop w:val="0"/>
      <w:marBottom w:val="0"/>
      <w:divBdr>
        <w:top w:val="none" w:sz="0" w:space="0" w:color="auto"/>
        <w:left w:val="none" w:sz="0" w:space="0" w:color="auto"/>
        <w:bottom w:val="none" w:sz="0" w:space="0" w:color="auto"/>
        <w:right w:val="none" w:sz="0" w:space="0" w:color="auto"/>
      </w:divBdr>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24B5A-0786-3444-9958-4DE18ACB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612</Words>
  <Characters>3490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Priya Chaplot</cp:lastModifiedBy>
  <cp:revision>7</cp:revision>
  <cp:lastPrinted>2014-01-16T20:25:00Z</cp:lastPrinted>
  <dcterms:created xsi:type="dcterms:W3CDTF">2014-05-09T17:13:00Z</dcterms:created>
  <dcterms:modified xsi:type="dcterms:W3CDTF">2014-05-09T17:44:00Z</dcterms:modified>
</cp:coreProperties>
</file>